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252</w:t>
      </w:r>
    </w:p>
    <w:p>
      <w:r>
        <w:t>Bundesgericht (BGE), 1975-08-06, DE</w:t>
      </w:r>
    </w:p>
    <w:p>
      <w:r>
        <w:rPr>
          <w:b/>
        </w:rPr>
        <w:t xml:space="preserve">Quelle: </w:t>
      </w:r>
      <w:r>
        <w:t>https://mcp.opencaselaw.ch/entscheid/bge_101 IV 252</w:t>
      </w:r>
    </w:p>
    <w:p>
      <w:r>
        <w:t>FR: ATF 101 IV 252</w:t>
      </w:r>
    </w:p>
    <w:p>
      <w:r>
        <w:t>IT: DTF 101 IV 252</w:t>
      </w:r>
    </w:p>
    <w:p>
      <w:pPr>
        <w:pStyle w:val="Heading2"/>
      </w:pPr>
      <w:r>
        <w:t>Regeste</w:t>
      </w:r>
    </w:p>
    <w:p>
      <w:r>
        <w:t>Regeste Europäische Menschenrechtskonvention; Beschwerde gegen den Bundesanwalt. Die Anklagekammer ist in der Regel zur Behandlung von Beschwerden gegen den Bundesanwalt wegen Verletzung der Europäischen Menschenrechtskonvention nicht zuständig.</w:t>
      </w:r>
    </w:p>
    <w:p>
      <w:pPr>
        <w:pStyle w:val="Heading2"/>
      </w:pPr>
      <w:r>
        <w:t>Erwägungen</w:t>
      </w:r>
    </w:p>
    <w:p>
      <w:r>
        <w:rPr>
          <w:b/>
        </w:rPr>
        <w:t>E. 1</w:t>
      </w:r>
    </w:p>
    <w:p>
      <w:r>
        <w:t>Die EMRK, die der Bundesanwalt nach der Behauptung des Beschwerdeführers verletzt haben soll, ist von der Schweiz am 28. November 1974 ratifiziert und in der eidg. Gesetzessammlung publiziert worden (AS 1974 S. 2148 ff.), womit sie in der internen Rechtsordnung zumindest Gesetzesrang erlangte (BBl 1974 I 1059, 1968 II 1070ff.). Die von ihr geschützten Rechte haben ihrer Natur nach einen verfassungsrechtlichen Inhalt. Der von der Konvention gebotene Schutz hat indessen nur insoweit selbständige Bedeutung, als er den von den Verfassungen und Gesetzen des Bundes und der Kantone gewährten Schutz übersteigt ( BGE 101 Ia 69 ). Ob die Bestimmungen der EMRK in der Schweiz direkt oder nur über entsprechende landesinterne Vorschriften anwendbar BGE 101 IV 252 S. 254 seien, kann hier offen bleiben. Zu prüfen ist, ob und inwieweit gegen Anordnungen des Bundesanwalts, die dieser im polizeilichen Ermittlungsverfahren eines Bundesstrafprozesses getroffen hat, bei der Anklagekammer des Bundesgerichts wegen Verletzung der EMRK Beschwerde erhoben werden kann. Nach Art. 214 in Verbindung mit Art. 216 BStP kann bei der Anklagekammer nur Beschwerde gegen Amtshandlungen und wegen Versäumnis des Untersuchungsrichters geführt werden. Der Bundesanwalt steht dagegen nicht unter der Aufsicht der Anklagekammer, sondern gemäss Art. 14 Abs. 1 und 17 Abs. 1 BStP unter derjenigen des Bundesrates ( BGE 74 IV 182 ; STÄMPFLI, Anmerkungen zu Art. 214 BStP ; PETER, Die Bundesanwaltschaft als Staatsanwaltschaft des Bundes, Diss. Bern 1972 S. 18). Im polizeilichen Ermittlungsverfahren eines Bundesstrafprozesses ist daher gegen Amtshandlungen des Bundesanwalts in der Regel nur die Aufsichtsbeschwerde an das Eidg. Justiz- und Polizeidepartement und den Bundesrat, nicht auch eine Beschwerde an die Anklagekammer des Bundesgerichts zulässig. Von dieser Regel sieht die geltende Rechtsordnung zwei Ausnahmen vor: - Erhebt ein Inhaber von Papieren gegen deren Durchsuchung Einsprache, so werden die Papiere versiegelt und verwahrt, wobei die Anklagekammer über die Zulässigkeit der Durchsuchung entscheidet ( Art. 69 Abs. 3 BStP ). - Bis 1. Januar 1975 konnte nur gegen die Abweisung eines Haftentlassungsgesuchs durch den Untersuchungsrichter, seither kann auch gegen die Abweisung eines Haftentlassungsgesuchs durch den Bundesanwalt bei der Anklagekammer Beschwerde geführt werden ( Art. 52 Abs. 2 BStP ). Diese Gesetzesänderung erfolgte gerade im Hinblick auf Art. 5 Abs. 4 EMRK , wonach der Beschuldigte schon während des Ermittlungsverfahrens die Möglichkeit haben soll, gegen die Abweisung eines Haftentlassungsgesuchs an eine Gerichtsbehörde zu gelangen (BBl 1971 I 1017, 1968 II 1092 und 1144). Sowohl Art. 5 Abs. 4 EMRK wie Art. 52 BStP setzen jedoch gemäss ihrem Sinn und Wortlaut einen aktuellen Freiheitsentzug voraus. Im vorliegenden Fall befindet sich der Beschwerdeführer seit dem 5. Juni 1975 auf freiem Fuss, weshalb er nicht mehr im Haftprüfungsverfahren an die Anklagekammer gelangen kann. BGE 101 IV 252 S. 255 Andere Ausnahmen, welche die Anrufung der Anklagekammer ermöglichen würden, sieht das geltende Recht nicht vor. Die Erweiterung der Ausnahmefälle auf dem Wege der Analogie ist nicht zulässig. Die vom Beschwerdeführer behauptete Verletzung der EMRK durch den Bundesanwalt kann demnach bei der Anklagekammer nicht gerügt werden. Auf die Beschwerde ist mithin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